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DF" w:rsidRPr="00C90BDF" w:rsidRDefault="00C90BDF" w:rsidP="00C90BDF">
      <w:pPr>
        <w:widowControl/>
        <w:shd w:val="clear" w:color="auto" w:fill="FFFFFF"/>
        <w:spacing w:line="1500" w:lineRule="atLeast"/>
        <w:jc w:val="center"/>
        <w:rPr>
          <w:rFonts w:ascii="Arial" w:eastAsia="宋体" w:hAnsi="Arial" w:cs="Arial"/>
          <w:color w:val="000000"/>
          <w:kern w:val="0"/>
          <w:sz w:val="84"/>
          <w:szCs w:val="84"/>
        </w:rPr>
      </w:pPr>
      <w:r w:rsidRPr="00C90BDF">
        <w:rPr>
          <w:rFonts w:ascii="方正小标宋简体" w:eastAsia="方正小标宋简体" w:hAnsi="Arial" w:cs="Arial" w:hint="eastAsia"/>
          <w:color w:val="FF0000"/>
          <w:spacing w:val="20"/>
          <w:kern w:val="0"/>
          <w:sz w:val="84"/>
          <w:szCs w:val="84"/>
        </w:rPr>
        <w:t>山东省财政厅文件</w:t>
      </w:r>
    </w:p>
    <w:p w:rsidR="00C90BDF" w:rsidRPr="00A931CB" w:rsidRDefault="00C90BDF" w:rsidP="00C90BDF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鲁财采〔2014〕39号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关于2015年山东省省级预算单位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家具、印刷、小额工程定点采购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工作有关事项的通知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省直各部门、单位：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为进一步规范政府采购行为，提高政府采购效率，更好地满足省级预算单位采购家具、印刷、小额工程等需求，根据省财政厅《关于公布&lt;2015-2016年度山东省省级政府采购目录&gt;的通知》（鲁财采〔2014〕18号）及有关规定，省财政厅委托省级机关政府采购中心（以下简称采购中心）通过公开招标方式确定了2015年省级预算单位家具、印刷、小额工程定点供应商。现就有关事项通知如下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A931CB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A931C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一、适用范围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省级预算单位公开招标限额以下的家具、印刷项目，以及60万元以下的小额工程项目，须在本次招标确定的定点供应商中进行采购。其中，小额工程项目包括：房屋建筑工程、建筑装饰装修修缮工程、弱电工程（含建筑智能化工程、电子工程和安防工程）、消防设施工程、机电设备安装工程、城市园林绿化工程、建筑防水工程。具体分类详见附件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   </w:t>
      </w:r>
      <w:r w:rsidRPr="00A931CB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A931C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二、定点内容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（一）有效期限。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本期家具、印刷、小额工程定点采购有效期为自签订合同之日起一年。省级财政部门可根据定点供应商履约考评情况及工作需要，延长定点采购期限。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 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（二）供应商。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本期定点采购工作确定家具定点供应商18家，印刷定点供应商12家，小额工程定点供应商37家。具体名单见附件。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 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（三）采购价格。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本期家具、印刷、小额工程定点采购价格确定方式如下：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家具。省级预算单位自主选择相应分包内不少于3家定点供应商进行网上二次竞价，以最低报价作为成交价格。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印刷。采购预算金额1万元及以上的非信封类印刷项目，省级预算单位自主选择相应分包内不少于3家定点供应商进行网上二次竞价，以最低报价作为成交价格；信封类印刷项目和采购预算金额1万元以下的非信封类印刷项目，省级预算单位可自主选择相应分包内1家定点供应商进行报价，以最终报价作为成交价格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小额工程。省级预算单位自主选择相应分包内不少于3家定点供应商进行网上二次竞价，最终结算价格=经省级预算单位委托的审计部门审定的结算价×（1-综合优惠率）。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 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（四）信息查询。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定点供应商名单、项目团队人员等信息在“山东政府集中采购网（www.sdzfcg.gov.cn）”主页“定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点采购系统”相应栏目中列示。相关信息发生变化时，也将通过该系统公告，不再另行发文。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A931CB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A931C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三、采购程序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  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（一）编报建议书。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省级预算单位根据批复的政府采购预算，登录“山东省政府采购管理系统”编报《政府采购预算执行建议书》，采购方式选择“定点采购”。经核准后，可登录“山东政府集中采购网”主页“定点采购系统”相应栏目，查看定点供应商名单、项目团队人员等信息。对采购要素满足“直通车”制度条件的项目，直接以批复的政府采购预算作为执行依据发送至采购中心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  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（二）立项。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采购中心根据已核准的建议书在“定点采购系统”中立项。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  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（三）网上竞价。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省级预算单位登录“定点采购系统”录入采购内容、数量、技术指标、交付日期等采购需求信息，自主选择竞价定点供应商（其中，家具、小额工程和采购预算金额1万元及以上的非信封类印刷项目不得少于3家，采购预算金额1万元以下的非信封类印刷项目和信封类印刷项目为1家）；采购中心核对采购信息无误后，于工作日上午9:00-11:00之间发布竞价信息，竞价系统于6个小时内接受网上报价。竞价定点供应商可在竞价截止时间前多次报价，系统默认最后一次提交的报价信息为有效竞价信息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 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（四）确认成交供应商。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竞价截止后不得修改报价，系统按照低价优先原则自动生成成交供应商候选人排序，并确定排名第一的为成交供应商。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 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（五）签订合同。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按照现行规定签订、登记政府采购合同。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</w:t>
      </w:r>
      <w:r w:rsidRPr="00A931CB">
        <w:rPr>
          <w:rFonts w:ascii="宋体" w:eastAsia="宋体" w:hAnsi="宋体" w:cs="宋体" w:hint="eastAsia"/>
          <w:color w:val="000000"/>
          <w:kern w:val="0"/>
          <w:sz w:val="32"/>
        </w:rPr>
        <w:t> </w:t>
      </w:r>
      <w:r w:rsidRPr="00A931C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四、管理监督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 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（一）严格执行。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省级预算单位要严格按照本通知要求，认真做好家具、印刷、小额工程定点采购工作。有内部印刷厂（所）的省级预算单位可将印刷任务交其内部印刷厂（所）承担。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  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（二）考核评价。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定点执行期间，采购中心建立对定点供应商的评价考核机制，依据招投标文件、政府采购合同有关规定和承诺，从价格、服务质量及履约情况等方面，对定点供应商进行定期抽查和用户满意度调查，并及时公示抽查、调查情况。省级预算单位应在政府采购合同履行完毕后，及时登录“山东政府集中采购网”主页“定点采购系统”填写《反馈表》。考核情况将作为下一期定点供应商招标评审的依据之一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  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（三）监督举报。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对定点供应商的违约行为，省级预算单位可向采购中心举报，举报电话：0531-67800519。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 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</w:rPr>
        <w:t> </w:t>
      </w:r>
      <w:r w:rsidRPr="00A931CB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（四）违约责任。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定点执行期间，定点供应商违反招投标文件和政府采购合同有关规定或承诺的，经查实后，依照法</w:t>
      </w: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律法规给予警告、暂停定点资格并限期整改、扣除部分或全部履约保证金、取消定点资格等处罚，并予以通报。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附件：定点采购分包及供应商目录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ind w:left="5426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                            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ind w:left="5426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ind w:left="5426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ind w:left="5426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ind w:left="5426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ind w:left="5426" w:firstLine="3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山东省财政厅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ind w:firstLine="54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2014年12月31日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ind w:left="5426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C90BDF" w:rsidRPr="00A931CB" w:rsidRDefault="00C90BDF" w:rsidP="00C90BDF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br w:type="page"/>
      </w:r>
    </w:p>
    <w:p w:rsidR="00C90BDF" w:rsidRPr="00A931CB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附件：</w:t>
      </w:r>
    </w:p>
    <w:p w:rsidR="00C90BDF" w:rsidRPr="00A931CB" w:rsidRDefault="00C90BDF" w:rsidP="00C90BDF">
      <w:pPr>
        <w:widowControl/>
        <w:shd w:val="clear" w:color="auto" w:fill="FFFFFF"/>
        <w:spacing w:before="240" w:after="240" w:line="58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定点采购分包及供应商目录</w:t>
      </w:r>
    </w:p>
    <w:tbl>
      <w:tblPr>
        <w:tblW w:w="8925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900"/>
        <w:gridCol w:w="1800"/>
        <w:gridCol w:w="5505"/>
      </w:tblGrid>
      <w:tr w:rsidR="00C90BDF" w:rsidRPr="00A931CB" w:rsidTr="0033549E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品目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包号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550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定点供应商（排名不分先后）</w:t>
            </w:r>
          </w:p>
        </w:tc>
      </w:tr>
      <w:tr w:rsidR="00C90BDF" w:rsidRPr="00A931CB" w:rsidTr="0033549E">
        <w:tc>
          <w:tcPr>
            <w:tcW w:w="72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</w:t>
            </w: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bidresult"/>
            <w:bookmarkEnd w:id="0"/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木质家具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广州市欧林家具有限公司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鸿盛家具（福建）有限公司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江门健威家具装饰有限公司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济南美尔家私装饰有限公司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山东蓝图家具制造有限公司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山东南华家具有限公司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山东新郎欧美尔家居置业有限公司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山东卓怡家具有限公司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浙江华洲文仪有限公司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中山市派格家具有限公司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钢制家具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霸州市有兴家具有限公司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广州市欧林家具有限公司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鸿盛家具（福建）有限公司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江门健威家具装饰有限公司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山东卓怡家具有限公司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校舍家具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霸州市有兴家具有限公司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鸿盛家具（福建）有限公司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山东花都金柜家具有限公司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山东蓝图家具制造有限公司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山东卓怡家具有限公司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密集架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海发(宁波)办公设备有限公司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宁波明兴金融设备实业有限公司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宁波圣达精工智能科技有限公司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宁波万金现代钣金有限公司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宁波宇东金属箱柜有限公司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A5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礼堂椅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江门健威家具装饰有限公司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临朐华强座椅有限公司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山东花都金柜家具有限公司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山东蓝图家具制造有限公司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山东卓怡家具有限公司</w:t>
            </w:r>
          </w:p>
        </w:tc>
      </w:tr>
      <w:tr w:rsidR="00C90BDF" w:rsidRPr="00A931CB" w:rsidTr="0033549E">
        <w:tc>
          <w:tcPr>
            <w:tcW w:w="72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刷</w:t>
            </w: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A1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证书类印刷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东营鑫鸣印务有限公司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东港股份有限公司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上海迈天印务科技发展有限公司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济南百思特印业有限公司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济南冉辉印务有限公司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书刊及其他类印刷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济南黄氏印务有限公司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东港股份有限公司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济南铁路印刷厂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高密市现代印刷有限公司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济南百思特印业有限公司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数字印刷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东港股份有限公司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高密市现代印刷有限公司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济南聚中工贸有限公司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济南龙玺印刷有限公司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济南铁路印刷厂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信封类印刷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东港股份有限公司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高密市现代印刷有限公司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济南鲁艺彩印有限公司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中共山东省委机关文印中心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济南百思特印业有限公司</w:t>
            </w:r>
          </w:p>
        </w:tc>
      </w:tr>
      <w:tr w:rsidR="00C90BDF" w:rsidRPr="00A931CB" w:rsidTr="0033549E">
        <w:tc>
          <w:tcPr>
            <w:tcW w:w="720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</w:t>
            </w:r>
          </w:p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额</w:t>
            </w:r>
          </w:p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房屋建筑工程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章丘市第三建筑工程公司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山东盛业建设工程有限公司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山东欣欣园置业有限公司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山东聊建集团有限公司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山东森信建筑工程有限公司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建筑装饰装修</w:t>
            </w:r>
          </w:p>
          <w:p w:rsidR="00C90BDF" w:rsidRPr="00A931CB" w:rsidRDefault="00C90BDF" w:rsidP="0033549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修缮工程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山东泰信幕墙工程有限公司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江苏恒龙装饰工程有限公司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山东国福装饰工程有限公司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山东省齐鲁装饰设计院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山东省建设建工集团装饰装璜有限公司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山东福缘来装饰有限公司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山东省华信装饰工程有限公司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鲁丹建设集团有限公司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济南立起建筑装饰有限公司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深圳市中深建装饰设计工程有限公司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山东百特展览工程有限公司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深圳市华辉装饰工程有限公司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弱电工程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山东鲁光信息工程有限公司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山东优士科技发展有限公司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山东天启信息技术有限公司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济南科瑞智能机房工程有限责任公司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山东正晨科技股份有限公司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消防设施工程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山东天水地能技术有限公司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江苏省钟星消防工程有限公司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山东省保安器材有限公司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济南金盾工程有限责任公司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山东益通安装有限公司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A5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机电设备安装工程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山东益通安装有限公司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济南长城空调公司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山东天水地能技术有限公司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山东运良安装工程有限公司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深圳市中深建装饰设计工程有限公司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A6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城市园林绿化工程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山东鸿林工程技术有限公司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山东四季青园林绿化有限公司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山东祥泰园林建设集团有限公司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泰安市晓然园林市政工程有限公司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济南亿禾世纪园林绿化有限公司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A7</w:t>
            </w:r>
          </w:p>
        </w:tc>
        <w:tc>
          <w:tcPr>
            <w:tcW w:w="1800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建筑防水工程</w:t>
            </w: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山东省建设建工集团装饰装璜有限公司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山东省对外建设工程总公司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济南立起建筑装饰有限公司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北京市安达亿防水工程有限责任公司</w:t>
            </w:r>
          </w:p>
        </w:tc>
      </w:tr>
      <w:tr w:rsidR="00C90BDF" w:rsidRPr="00A931CB" w:rsidTr="0033549E"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90BDF" w:rsidRPr="00A931CB" w:rsidRDefault="00C90BDF" w:rsidP="003354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BDF" w:rsidRPr="00A931CB" w:rsidRDefault="00C90BDF" w:rsidP="0033549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31C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北京远大洪雨防水工程有限公司</w:t>
            </w:r>
          </w:p>
        </w:tc>
      </w:tr>
    </w:tbl>
    <w:p w:rsidR="00C90BDF" w:rsidRPr="00A931CB" w:rsidRDefault="00C90BDF" w:rsidP="00C90BDF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C90BDF" w:rsidRPr="00A931CB" w:rsidRDefault="00C90BDF" w:rsidP="00C90BDF">
      <w:pPr>
        <w:widowControl/>
        <w:shd w:val="clear" w:color="auto" w:fill="FFFFFF"/>
        <w:spacing w:line="600" w:lineRule="atLeast"/>
        <w:ind w:firstLine="54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C90BDF" w:rsidRPr="00A931CB" w:rsidRDefault="00C90BDF" w:rsidP="00C90BDF">
      <w:pPr>
        <w:widowControl/>
        <w:shd w:val="clear" w:color="auto" w:fill="FFFFFF"/>
        <w:spacing w:line="600" w:lineRule="atLeast"/>
        <w:ind w:firstLine="54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C90BDF" w:rsidRPr="00A931CB" w:rsidRDefault="00C90BDF" w:rsidP="00C90BDF">
      <w:pPr>
        <w:widowControl/>
        <w:shd w:val="clear" w:color="auto" w:fill="FFFFFF"/>
        <w:spacing w:line="600" w:lineRule="atLeast"/>
        <w:ind w:firstLine="54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C90BDF" w:rsidRPr="00A931CB" w:rsidRDefault="00C90BDF" w:rsidP="00C90BDF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信息公开选项</w:t>
      </w:r>
      <w:r w:rsidRPr="00A931CB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:</w:t>
      </w:r>
      <w:r w:rsidRPr="00A931CB">
        <w:rPr>
          <w:rFonts w:ascii="方正小标宋简体" w:eastAsia="方正小标宋简体" w:hAnsi="Arial" w:cs="Arial" w:hint="eastAsia"/>
          <w:color w:val="FFFFFF"/>
          <w:kern w:val="0"/>
          <w:sz w:val="28"/>
        </w:rPr>
        <w:t> </w:t>
      </w:r>
      <w:r w:rsidRPr="00A931CB">
        <w:rPr>
          <w:rFonts w:ascii="方正小标宋简体" w:eastAsia="方正小标宋简体" w:hAnsi="Arial" w:cs="Arial" w:hint="eastAsia"/>
          <w:color w:val="000000"/>
          <w:kern w:val="0"/>
          <w:sz w:val="28"/>
          <w:szCs w:val="28"/>
        </w:rPr>
        <w:t>主动公开</w:t>
      </w:r>
    </w:p>
    <w:p w:rsidR="00C90BDF" w:rsidRPr="00A931CB" w:rsidRDefault="00C90BDF" w:rsidP="00C90BDF">
      <w:pPr>
        <w:widowControl/>
        <w:shd w:val="clear" w:color="auto" w:fill="FFFFFF"/>
        <w:spacing w:line="600" w:lineRule="atLeast"/>
        <w:ind w:firstLine="31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A931CB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山东省财政厅办公室</w:t>
      </w:r>
      <w:r w:rsidRPr="00A931CB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       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28"/>
        </w:rPr>
        <w:t>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           </w:t>
      </w:r>
      <w:r w:rsidRPr="00A931CB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2014年12月31日印发</w:t>
      </w:r>
    </w:p>
    <w:p w:rsidR="00C90BDF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C90BDF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C90BDF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C90BDF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C90BDF" w:rsidRDefault="00C90BDF" w:rsidP="00C90BDF">
      <w:pPr>
        <w:widowControl/>
        <w:shd w:val="clear" w:color="auto" w:fill="FFFFFF"/>
        <w:spacing w:line="5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E8763F" w:rsidRPr="00C90BDF" w:rsidRDefault="00E8763F"/>
    <w:sectPr w:rsidR="00E8763F" w:rsidRPr="00C90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3F" w:rsidRDefault="00E8763F" w:rsidP="00C90BDF">
      <w:r>
        <w:separator/>
      </w:r>
    </w:p>
  </w:endnote>
  <w:endnote w:type="continuationSeparator" w:id="1">
    <w:p w:rsidR="00E8763F" w:rsidRDefault="00E8763F" w:rsidP="00C9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3F" w:rsidRDefault="00E8763F" w:rsidP="00C90BDF">
      <w:r>
        <w:separator/>
      </w:r>
    </w:p>
  </w:footnote>
  <w:footnote w:type="continuationSeparator" w:id="1">
    <w:p w:rsidR="00E8763F" w:rsidRDefault="00E8763F" w:rsidP="00C90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BDF"/>
    <w:rsid w:val="00C90BDF"/>
    <w:rsid w:val="00E8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B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B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583</Words>
  <Characters>3329</Characters>
  <Application>Microsoft Office Word</Application>
  <DocSecurity>0</DocSecurity>
  <Lines>27</Lines>
  <Paragraphs>7</Paragraphs>
  <ScaleCrop>false</ScaleCrop>
  <Company>Lenovo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2015-01-12T04:48:00Z</dcterms:created>
  <dcterms:modified xsi:type="dcterms:W3CDTF">2015-01-12T04:48:00Z</dcterms:modified>
</cp:coreProperties>
</file>